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86E7B" w14:textId="3B734EB6" w:rsidR="006D7FE0" w:rsidRPr="006D7FE0" w:rsidRDefault="006D7FE0" w:rsidP="00275A85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6D7FE0">
        <w:rPr>
          <w:rFonts w:ascii="Century Gothic" w:hAnsi="Century Gothic"/>
          <w:b/>
          <w:bCs/>
          <w:sz w:val="28"/>
          <w:szCs w:val="28"/>
        </w:rPr>
        <w:t xml:space="preserve">Prince </w:t>
      </w:r>
      <w:proofErr w:type="spellStart"/>
      <w:r w:rsidRPr="006D7FE0">
        <w:rPr>
          <w:rFonts w:ascii="Century Gothic" w:hAnsi="Century Gothic"/>
          <w:b/>
          <w:bCs/>
          <w:sz w:val="28"/>
          <w:szCs w:val="28"/>
        </w:rPr>
        <w:t>Mahidol</w:t>
      </w:r>
      <w:proofErr w:type="spellEnd"/>
      <w:r w:rsidRPr="006D7FE0">
        <w:rPr>
          <w:rFonts w:ascii="Century Gothic" w:hAnsi="Century Gothic"/>
          <w:b/>
          <w:bCs/>
          <w:sz w:val="28"/>
          <w:szCs w:val="28"/>
        </w:rPr>
        <w:t xml:space="preserve"> Award Conference 2021 on “COVID-19: Advancing Towards an Equitable and Healthy World</w:t>
      </w:r>
    </w:p>
    <w:p w14:paraId="6AA5CA65" w14:textId="77777777" w:rsidR="006D7FE0" w:rsidRDefault="006D7FE0" w:rsidP="00275A85">
      <w:pPr>
        <w:jc w:val="both"/>
        <w:rPr>
          <w:rFonts w:ascii="Century Gothic" w:hAnsi="Century Gothic"/>
          <w:b/>
          <w:bCs/>
          <w:sz w:val="24"/>
          <w:szCs w:val="24"/>
        </w:rPr>
      </w:pPr>
    </w:p>
    <w:p w14:paraId="031A7F95" w14:textId="519F6300" w:rsidR="00245353" w:rsidRPr="00525BE9" w:rsidRDefault="00245353" w:rsidP="00275A85">
      <w:pPr>
        <w:jc w:val="both"/>
        <w:rPr>
          <w:rFonts w:ascii="Century Gothic" w:hAnsi="Century Gothic"/>
          <w:b/>
          <w:bCs/>
          <w:sz w:val="24"/>
          <w:szCs w:val="24"/>
        </w:rPr>
      </w:pPr>
      <w:r w:rsidRPr="00525BE9">
        <w:rPr>
          <w:rFonts w:ascii="Century Gothic" w:hAnsi="Century Gothic"/>
          <w:b/>
          <w:bCs/>
          <w:sz w:val="24"/>
          <w:szCs w:val="24"/>
        </w:rPr>
        <w:t xml:space="preserve">COVID 19 and Vaccines </w:t>
      </w:r>
    </w:p>
    <w:p w14:paraId="2A9D3579" w14:textId="1D4A3CB0" w:rsidR="00245353" w:rsidRPr="005B45EE" w:rsidRDefault="00245353" w:rsidP="00275A85">
      <w:pPr>
        <w:spacing w:after="160"/>
        <w:jc w:val="both"/>
        <w:rPr>
          <w:rFonts w:ascii="Century Gothic" w:hAnsi="Century Gothic"/>
          <w:bCs/>
          <w:sz w:val="24"/>
          <w:szCs w:val="24"/>
        </w:rPr>
      </w:pPr>
      <w:r w:rsidRPr="005B45EE">
        <w:rPr>
          <w:rFonts w:ascii="Century Gothic" w:hAnsi="Century Gothic"/>
          <w:bCs/>
          <w:sz w:val="24"/>
          <w:szCs w:val="24"/>
        </w:rPr>
        <w:t>COVID-19 is an unprecedented public health event of int</w:t>
      </w:r>
      <w:r w:rsidR="00750A28">
        <w:rPr>
          <w:rFonts w:ascii="Century Gothic" w:hAnsi="Century Gothic"/>
          <w:bCs/>
          <w:sz w:val="24"/>
          <w:szCs w:val="24"/>
        </w:rPr>
        <w:t xml:space="preserve">ernational concern that is still </w:t>
      </w:r>
      <w:r w:rsidRPr="005B45EE">
        <w:rPr>
          <w:rFonts w:ascii="Century Gothic" w:hAnsi="Century Gothic"/>
          <w:bCs/>
          <w:sz w:val="24"/>
          <w:szCs w:val="24"/>
        </w:rPr>
        <w:t>spreading</w:t>
      </w:r>
      <w:r w:rsidR="00750A28">
        <w:rPr>
          <w:rFonts w:ascii="Century Gothic" w:hAnsi="Century Gothic"/>
          <w:bCs/>
          <w:sz w:val="24"/>
          <w:szCs w:val="24"/>
        </w:rPr>
        <w:t xml:space="preserve"> 9 months since it was declared a pandemic, with disruptions to</w:t>
      </w:r>
      <w:r w:rsidRPr="005B45EE">
        <w:rPr>
          <w:rFonts w:ascii="Century Gothic" w:hAnsi="Century Gothic"/>
          <w:bCs/>
          <w:sz w:val="24"/>
          <w:szCs w:val="24"/>
        </w:rPr>
        <w:t xml:space="preserve"> social and economic activity</w:t>
      </w:r>
      <w:r w:rsidR="00750A28">
        <w:rPr>
          <w:rFonts w:ascii="Century Gothic" w:hAnsi="Century Gothic"/>
          <w:bCs/>
          <w:sz w:val="24"/>
          <w:szCs w:val="24"/>
        </w:rPr>
        <w:t>.</w:t>
      </w:r>
    </w:p>
    <w:p w14:paraId="6C191B3A" w14:textId="0050BE89" w:rsidR="00245353" w:rsidRPr="005B45EE" w:rsidRDefault="00750A28" w:rsidP="00275A85">
      <w:pPr>
        <w:spacing w:after="160"/>
        <w:jc w:val="both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With numerous scientists working towards a vaccine world over, a</w:t>
      </w:r>
      <w:r w:rsidR="00245353" w:rsidRPr="005B45EE">
        <w:rPr>
          <w:rFonts w:ascii="Century Gothic" w:hAnsi="Century Gothic"/>
          <w:bCs/>
          <w:sz w:val="24"/>
          <w:szCs w:val="24"/>
        </w:rPr>
        <w:t xml:space="preserve"> few WHO Prequalified COVID-19 vaccines are projected to be available by </w:t>
      </w:r>
      <w:r>
        <w:rPr>
          <w:rFonts w:ascii="Century Gothic" w:hAnsi="Century Gothic"/>
          <w:bCs/>
          <w:sz w:val="24"/>
          <w:szCs w:val="24"/>
        </w:rPr>
        <w:t xml:space="preserve">the </w:t>
      </w:r>
      <w:r w:rsidR="00245353" w:rsidRPr="005B45EE">
        <w:rPr>
          <w:rFonts w:ascii="Century Gothic" w:hAnsi="Century Gothic"/>
          <w:bCs/>
          <w:sz w:val="24"/>
          <w:szCs w:val="24"/>
        </w:rPr>
        <w:t>1st Quarter of 2021</w:t>
      </w:r>
    </w:p>
    <w:p w14:paraId="1A3680BA" w14:textId="77777777" w:rsidR="00245353" w:rsidRPr="005B45EE" w:rsidRDefault="00245353" w:rsidP="00275A85">
      <w:pPr>
        <w:spacing w:after="160"/>
        <w:jc w:val="both"/>
        <w:rPr>
          <w:rFonts w:ascii="Century Gothic" w:hAnsi="Century Gothic"/>
          <w:bCs/>
          <w:sz w:val="24"/>
          <w:szCs w:val="24"/>
        </w:rPr>
      </w:pPr>
      <w:r w:rsidRPr="005B45EE">
        <w:rPr>
          <w:rFonts w:ascii="Century Gothic" w:hAnsi="Century Gothic"/>
          <w:bCs/>
          <w:sz w:val="24"/>
          <w:szCs w:val="24"/>
        </w:rPr>
        <w:t>Two pathways are being explored to secure access to high quality vaccines and ensure Kenya gets its equitable share:</w:t>
      </w:r>
    </w:p>
    <w:p w14:paraId="37F50E67" w14:textId="34AA49CA" w:rsidR="00245353" w:rsidRPr="00A06C58" w:rsidRDefault="00245353" w:rsidP="00275A85">
      <w:pPr>
        <w:pStyle w:val="ListParagraph"/>
        <w:numPr>
          <w:ilvl w:val="0"/>
          <w:numId w:val="3"/>
        </w:numPr>
        <w:spacing w:after="160"/>
        <w:jc w:val="both"/>
        <w:rPr>
          <w:rFonts w:ascii="Century Gothic" w:hAnsi="Century Gothic"/>
          <w:bCs/>
          <w:sz w:val="24"/>
          <w:szCs w:val="24"/>
        </w:rPr>
      </w:pPr>
      <w:r w:rsidRPr="00A06C58">
        <w:rPr>
          <w:rFonts w:ascii="Century Gothic" w:hAnsi="Century Gothic"/>
          <w:bCs/>
          <w:sz w:val="24"/>
          <w:szCs w:val="24"/>
        </w:rPr>
        <w:t>The Global Umbrella facility for the COVID Vaccine (COVAX), through which the country will access vaccine doses sufficient to cover 20% of the country population</w:t>
      </w:r>
      <w:r w:rsidR="00750A28">
        <w:rPr>
          <w:rFonts w:ascii="Century Gothic" w:hAnsi="Century Gothic"/>
          <w:bCs/>
          <w:sz w:val="24"/>
          <w:szCs w:val="24"/>
        </w:rPr>
        <w:t>.</w:t>
      </w:r>
    </w:p>
    <w:p w14:paraId="4F364D0C" w14:textId="03DD90D2" w:rsidR="00245353" w:rsidRPr="00A06C58" w:rsidRDefault="00245353" w:rsidP="00275A85">
      <w:pPr>
        <w:pStyle w:val="ListParagraph"/>
        <w:numPr>
          <w:ilvl w:val="0"/>
          <w:numId w:val="3"/>
        </w:numPr>
        <w:spacing w:after="160"/>
        <w:jc w:val="both"/>
        <w:rPr>
          <w:rFonts w:ascii="Century Gothic" w:hAnsi="Century Gothic"/>
          <w:bCs/>
          <w:sz w:val="24"/>
          <w:szCs w:val="24"/>
        </w:rPr>
      </w:pPr>
      <w:r w:rsidRPr="00A06C58">
        <w:rPr>
          <w:rFonts w:ascii="Century Gothic" w:hAnsi="Century Gothic"/>
          <w:bCs/>
          <w:sz w:val="24"/>
          <w:szCs w:val="24"/>
        </w:rPr>
        <w:t>Bilateral arrangements to procure additional National emergency strategic stocks of a WHO Prequalified vaccine</w:t>
      </w:r>
      <w:r w:rsidR="00750A28">
        <w:rPr>
          <w:rFonts w:ascii="Century Gothic" w:hAnsi="Century Gothic"/>
          <w:bCs/>
          <w:sz w:val="24"/>
          <w:szCs w:val="24"/>
        </w:rPr>
        <w:t>.</w:t>
      </w:r>
    </w:p>
    <w:p w14:paraId="7136B812" w14:textId="048AADF5" w:rsidR="00245353" w:rsidRPr="0031619C" w:rsidRDefault="000F2264" w:rsidP="00275A85">
      <w:pPr>
        <w:jc w:val="both"/>
        <w:rPr>
          <w:rFonts w:ascii="Century Gothic" w:hAnsi="Century Gothic"/>
          <w:bCs/>
          <w:sz w:val="24"/>
          <w:szCs w:val="24"/>
        </w:rPr>
      </w:pPr>
      <w:r w:rsidRPr="0031619C">
        <w:rPr>
          <w:rFonts w:ascii="Century Gothic" w:hAnsi="Century Gothic"/>
          <w:bCs/>
          <w:sz w:val="24"/>
          <w:szCs w:val="24"/>
        </w:rPr>
        <w:t>Supply chain interruptions as seen with PPE remain a key consideration for the vaccine distribution when it becomes available.</w:t>
      </w:r>
    </w:p>
    <w:p w14:paraId="43B6B5F2" w14:textId="77777777" w:rsidR="009F5E15" w:rsidRPr="009F5E15" w:rsidRDefault="009F5E15" w:rsidP="00275A85">
      <w:pPr>
        <w:jc w:val="both"/>
        <w:rPr>
          <w:rFonts w:ascii="Century Gothic" w:hAnsi="Century Gothic"/>
          <w:b/>
          <w:bCs/>
          <w:sz w:val="24"/>
          <w:szCs w:val="24"/>
        </w:rPr>
      </w:pPr>
      <w:r w:rsidRPr="009F5E15">
        <w:rPr>
          <w:rFonts w:ascii="Century Gothic" w:hAnsi="Century Gothic"/>
          <w:b/>
          <w:bCs/>
          <w:sz w:val="24"/>
          <w:szCs w:val="24"/>
        </w:rPr>
        <w:t>The ethical case for equitable access to COVID-19 vaccines and life-saving therapeutics</w:t>
      </w:r>
    </w:p>
    <w:p w14:paraId="1A01B5EB" w14:textId="74E03779" w:rsidR="00245D14" w:rsidRPr="009810E5" w:rsidRDefault="00B673AD" w:rsidP="00275A85">
      <w:pPr>
        <w:spacing w:after="160"/>
        <w:jc w:val="both"/>
        <w:rPr>
          <w:rFonts w:ascii="Century Gothic" w:hAnsi="Century Gothic"/>
          <w:bCs/>
          <w:sz w:val="24"/>
          <w:szCs w:val="24"/>
        </w:rPr>
      </w:pPr>
      <w:r w:rsidRPr="009810E5">
        <w:rPr>
          <w:rFonts w:ascii="Century Gothic" w:hAnsi="Century Gothic"/>
          <w:bCs/>
          <w:sz w:val="24"/>
          <w:szCs w:val="24"/>
        </w:rPr>
        <w:t>As the global community races to find effective protection and therapeutics against the COVID 19 virus, equity must be a central focus of these efforts</w:t>
      </w:r>
      <w:r w:rsidR="00B80682" w:rsidRPr="009810E5">
        <w:rPr>
          <w:rFonts w:ascii="Century Gothic" w:hAnsi="Century Gothic"/>
          <w:bCs/>
          <w:sz w:val="24"/>
          <w:szCs w:val="24"/>
        </w:rPr>
        <w:t>.</w:t>
      </w:r>
    </w:p>
    <w:p w14:paraId="0ED32DCE" w14:textId="1063526C" w:rsidR="00B80682" w:rsidRDefault="00B80682" w:rsidP="00275A85">
      <w:pPr>
        <w:spacing w:after="160"/>
        <w:jc w:val="both"/>
        <w:rPr>
          <w:rFonts w:ascii="Century Gothic" w:hAnsi="Century Gothic"/>
          <w:bCs/>
          <w:sz w:val="24"/>
          <w:szCs w:val="24"/>
        </w:rPr>
      </w:pPr>
      <w:r w:rsidRPr="009810E5">
        <w:rPr>
          <w:rFonts w:ascii="Century Gothic" w:hAnsi="Century Gothic"/>
          <w:bCs/>
          <w:sz w:val="24"/>
          <w:szCs w:val="24"/>
        </w:rPr>
        <w:t>Developing countries are often late in adoption of new technologies, including vaccines. However, these life-saving products need to be available to everyone, not only those who can afford to pay for them.</w:t>
      </w:r>
    </w:p>
    <w:p w14:paraId="36E56927" w14:textId="7778B76E" w:rsidR="007B0C8C" w:rsidRDefault="009810E5" w:rsidP="00275A85">
      <w:pPr>
        <w:spacing w:after="160"/>
        <w:jc w:val="both"/>
        <w:rPr>
          <w:rFonts w:ascii="Century Gothic" w:hAnsi="Century Gothic"/>
          <w:bCs/>
          <w:sz w:val="24"/>
          <w:szCs w:val="24"/>
        </w:rPr>
      </w:pPr>
      <w:r w:rsidRPr="009810E5">
        <w:rPr>
          <w:rFonts w:ascii="Century Gothic" w:hAnsi="Century Gothic"/>
          <w:bCs/>
          <w:sz w:val="24"/>
          <w:szCs w:val="24"/>
        </w:rPr>
        <w:t>A clear and fair framework for allocation of vaccines and life</w:t>
      </w:r>
      <w:r w:rsidR="007B0C8C">
        <w:rPr>
          <w:rFonts w:ascii="Century Gothic" w:hAnsi="Century Gothic"/>
          <w:bCs/>
          <w:sz w:val="24"/>
          <w:szCs w:val="24"/>
        </w:rPr>
        <w:t>-</w:t>
      </w:r>
      <w:r w:rsidRPr="009810E5">
        <w:rPr>
          <w:rFonts w:ascii="Century Gothic" w:hAnsi="Century Gothic"/>
          <w:bCs/>
          <w:sz w:val="24"/>
          <w:szCs w:val="24"/>
        </w:rPr>
        <w:t xml:space="preserve">saving therapeutics among and within </w:t>
      </w:r>
      <w:r w:rsidR="00F75697">
        <w:rPr>
          <w:rFonts w:ascii="Century Gothic" w:hAnsi="Century Gothic"/>
          <w:bCs/>
          <w:sz w:val="24"/>
          <w:szCs w:val="24"/>
        </w:rPr>
        <w:t xml:space="preserve">countries </w:t>
      </w:r>
      <w:r w:rsidRPr="009810E5">
        <w:rPr>
          <w:rFonts w:ascii="Century Gothic" w:hAnsi="Century Gothic"/>
          <w:bCs/>
          <w:sz w:val="24"/>
          <w:szCs w:val="24"/>
        </w:rPr>
        <w:t>is needed</w:t>
      </w:r>
      <w:r w:rsidR="007B0C8C">
        <w:rPr>
          <w:rFonts w:ascii="Century Gothic" w:hAnsi="Century Gothic"/>
          <w:bCs/>
          <w:sz w:val="24"/>
          <w:szCs w:val="24"/>
        </w:rPr>
        <w:t xml:space="preserve">. In the absence of such an ethical framework, the following consequences could ensue: </w:t>
      </w:r>
    </w:p>
    <w:p w14:paraId="7714AA6B" w14:textId="158A581E" w:rsidR="007B0C8C" w:rsidRDefault="007B0C8C" w:rsidP="00275A85">
      <w:pPr>
        <w:pStyle w:val="ListParagraph"/>
        <w:numPr>
          <w:ilvl w:val="0"/>
          <w:numId w:val="9"/>
        </w:numPr>
        <w:spacing w:after="160"/>
        <w:jc w:val="both"/>
        <w:rPr>
          <w:rFonts w:ascii="Century Gothic" w:hAnsi="Century Gothic"/>
          <w:bCs/>
          <w:sz w:val="24"/>
          <w:szCs w:val="24"/>
        </w:rPr>
      </w:pPr>
      <w:r w:rsidRPr="007B0C8C">
        <w:rPr>
          <w:rFonts w:ascii="Century Gothic" w:hAnsi="Century Gothic"/>
          <w:bCs/>
          <w:sz w:val="24"/>
          <w:szCs w:val="24"/>
        </w:rPr>
        <w:t xml:space="preserve">Hoarding of vaccines </w:t>
      </w:r>
      <w:r w:rsidR="00744C06">
        <w:rPr>
          <w:rFonts w:ascii="Century Gothic" w:hAnsi="Century Gothic"/>
          <w:bCs/>
          <w:sz w:val="24"/>
          <w:szCs w:val="24"/>
        </w:rPr>
        <w:t xml:space="preserve">by some countries </w:t>
      </w:r>
      <w:r w:rsidR="00750A28">
        <w:rPr>
          <w:rFonts w:ascii="Century Gothic" w:hAnsi="Century Gothic"/>
          <w:bCs/>
          <w:sz w:val="24"/>
          <w:szCs w:val="24"/>
        </w:rPr>
        <w:t>or regions</w:t>
      </w:r>
    </w:p>
    <w:p w14:paraId="3267A54F" w14:textId="77633F34" w:rsidR="009810E5" w:rsidRDefault="007B0C8C" w:rsidP="00275A85">
      <w:pPr>
        <w:pStyle w:val="ListParagraph"/>
        <w:numPr>
          <w:ilvl w:val="0"/>
          <w:numId w:val="9"/>
        </w:numPr>
        <w:spacing w:after="160"/>
        <w:jc w:val="both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L</w:t>
      </w:r>
      <w:r w:rsidRPr="007B0C8C">
        <w:rPr>
          <w:rFonts w:ascii="Century Gothic" w:hAnsi="Century Gothic"/>
          <w:bCs/>
          <w:sz w:val="24"/>
          <w:szCs w:val="24"/>
        </w:rPr>
        <w:t>ife-threatening shortages in others</w:t>
      </w:r>
      <w:r w:rsidR="00750A28">
        <w:rPr>
          <w:rFonts w:ascii="Century Gothic" w:hAnsi="Century Gothic"/>
          <w:bCs/>
          <w:sz w:val="24"/>
          <w:szCs w:val="24"/>
        </w:rPr>
        <w:t xml:space="preserve"> areas</w:t>
      </w:r>
    </w:p>
    <w:p w14:paraId="380067C8" w14:textId="76D2C197" w:rsidR="007B0C8C" w:rsidRDefault="007B0C8C" w:rsidP="00275A85">
      <w:pPr>
        <w:pStyle w:val="ListParagraph"/>
        <w:numPr>
          <w:ilvl w:val="0"/>
          <w:numId w:val="9"/>
        </w:numPr>
        <w:spacing w:after="160"/>
        <w:jc w:val="both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lastRenderedPageBreak/>
        <w:t>Price hikes of these life</w:t>
      </w:r>
      <w:r w:rsidR="00F0720D">
        <w:rPr>
          <w:rFonts w:ascii="Century Gothic" w:hAnsi="Century Gothic"/>
          <w:bCs/>
          <w:sz w:val="24"/>
          <w:szCs w:val="24"/>
        </w:rPr>
        <w:t>-</w:t>
      </w:r>
      <w:r>
        <w:rPr>
          <w:rFonts w:ascii="Century Gothic" w:hAnsi="Century Gothic"/>
          <w:bCs/>
          <w:sz w:val="24"/>
          <w:szCs w:val="24"/>
        </w:rPr>
        <w:t>saving vaccines and therapeutics</w:t>
      </w:r>
    </w:p>
    <w:p w14:paraId="0A63CFEB" w14:textId="64107124" w:rsidR="009F5E15" w:rsidRDefault="00744C06" w:rsidP="00275A85">
      <w:pPr>
        <w:pStyle w:val="ListParagraph"/>
        <w:numPr>
          <w:ilvl w:val="0"/>
          <w:numId w:val="9"/>
        </w:numPr>
        <w:spacing w:after="160"/>
        <w:jc w:val="both"/>
        <w:rPr>
          <w:rFonts w:ascii="Century Gothic" w:hAnsi="Century Gothic"/>
          <w:bCs/>
          <w:sz w:val="24"/>
          <w:szCs w:val="24"/>
        </w:rPr>
      </w:pPr>
      <w:r w:rsidRPr="00744C06">
        <w:rPr>
          <w:rFonts w:ascii="Century Gothic" w:hAnsi="Century Gothic"/>
          <w:bCs/>
          <w:sz w:val="24"/>
          <w:szCs w:val="24"/>
        </w:rPr>
        <w:t xml:space="preserve">Inability </w:t>
      </w:r>
      <w:r w:rsidR="00D46775" w:rsidRPr="00744C06">
        <w:rPr>
          <w:rFonts w:ascii="Century Gothic" w:hAnsi="Century Gothic"/>
          <w:bCs/>
          <w:sz w:val="24"/>
          <w:szCs w:val="24"/>
        </w:rPr>
        <w:t>stop the acute phase of the pandemic and allow the rebuilding of our societies and economies</w:t>
      </w:r>
    </w:p>
    <w:p w14:paraId="65D16BC2" w14:textId="0FEE6F8A" w:rsidR="006747E6" w:rsidRDefault="006747E6" w:rsidP="00275A85">
      <w:pPr>
        <w:pStyle w:val="ListParagraph"/>
        <w:numPr>
          <w:ilvl w:val="0"/>
          <w:numId w:val="9"/>
        </w:numPr>
        <w:spacing w:after="160"/>
        <w:jc w:val="both"/>
        <w:rPr>
          <w:rFonts w:ascii="Century Gothic" w:hAnsi="Century Gothic"/>
          <w:bCs/>
          <w:sz w:val="24"/>
          <w:szCs w:val="24"/>
        </w:rPr>
      </w:pPr>
      <w:r w:rsidRPr="006747E6">
        <w:rPr>
          <w:rFonts w:ascii="Century Gothic" w:hAnsi="Century Gothic"/>
          <w:bCs/>
          <w:sz w:val="24"/>
          <w:szCs w:val="24"/>
        </w:rPr>
        <w:t>Without the promise of equitable access, some countries may be slow to share data and isolates for research and development</w:t>
      </w:r>
    </w:p>
    <w:p w14:paraId="4434A8F7" w14:textId="33622941" w:rsidR="0078008E" w:rsidRPr="005B45EE" w:rsidRDefault="0078008E" w:rsidP="00275A85">
      <w:pPr>
        <w:pStyle w:val="ListParagraph"/>
        <w:numPr>
          <w:ilvl w:val="0"/>
          <w:numId w:val="9"/>
        </w:numPr>
        <w:spacing w:after="160"/>
        <w:jc w:val="both"/>
        <w:rPr>
          <w:rFonts w:ascii="Century Gothic" w:hAnsi="Century Gothic"/>
          <w:bCs/>
          <w:sz w:val="24"/>
          <w:szCs w:val="24"/>
        </w:rPr>
      </w:pPr>
      <w:r w:rsidRPr="005B45EE">
        <w:rPr>
          <w:rFonts w:ascii="Century Gothic" w:hAnsi="Century Gothic"/>
          <w:bCs/>
          <w:sz w:val="24"/>
          <w:szCs w:val="24"/>
        </w:rPr>
        <w:t>Introduction of COVID vaccines not appropriate for the country context</w:t>
      </w:r>
      <w:r>
        <w:rPr>
          <w:rFonts w:ascii="Century Gothic" w:hAnsi="Century Gothic"/>
          <w:bCs/>
          <w:sz w:val="24"/>
          <w:szCs w:val="24"/>
        </w:rPr>
        <w:t>, due to introductions driven by availability rather than vaccine suitability and therefore n</w:t>
      </w:r>
      <w:r w:rsidRPr="005B45EE">
        <w:rPr>
          <w:rFonts w:ascii="Century Gothic" w:hAnsi="Century Gothic"/>
          <w:bCs/>
          <w:sz w:val="24"/>
          <w:szCs w:val="24"/>
        </w:rPr>
        <w:t>ot cost effective</w:t>
      </w:r>
    </w:p>
    <w:p w14:paraId="3342F71B" w14:textId="0710AFDB" w:rsidR="0078008E" w:rsidRDefault="00750A28" w:rsidP="00275A85">
      <w:pPr>
        <w:pStyle w:val="ListParagraph"/>
        <w:numPr>
          <w:ilvl w:val="0"/>
          <w:numId w:val="9"/>
        </w:numPr>
        <w:spacing w:after="160"/>
        <w:jc w:val="both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C</w:t>
      </w:r>
      <w:r w:rsidR="0078008E" w:rsidRPr="005B45EE">
        <w:rPr>
          <w:rFonts w:ascii="Century Gothic" w:hAnsi="Century Gothic"/>
          <w:bCs/>
          <w:sz w:val="24"/>
          <w:szCs w:val="24"/>
        </w:rPr>
        <w:t>onsideration of inappropriate risk groups, vaccine schedules, target ages and scope of vaccination for the country context</w:t>
      </w:r>
    </w:p>
    <w:p w14:paraId="4939A9D2" w14:textId="6E703CB1" w:rsidR="0078008E" w:rsidRPr="00750A28" w:rsidRDefault="00275A85" w:rsidP="00750A28">
      <w:pPr>
        <w:pStyle w:val="ListParagraph"/>
        <w:numPr>
          <w:ilvl w:val="0"/>
          <w:numId w:val="9"/>
        </w:numPr>
        <w:spacing w:after="160"/>
        <w:jc w:val="both"/>
        <w:rPr>
          <w:rFonts w:ascii="Century Gothic" w:hAnsi="Century Gothic"/>
          <w:bCs/>
          <w:sz w:val="24"/>
          <w:szCs w:val="24"/>
        </w:rPr>
      </w:pPr>
      <w:r w:rsidRPr="005B45EE">
        <w:rPr>
          <w:rFonts w:ascii="Century Gothic" w:hAnsi="Century Gothic"/>
          <w:bCs/>
          <w:sz w:val="24"/>
          <w:szCs w:val="24"/>
        </w:rPr>
        <w:t>Persistent</w:t>
      </w:r>
      <w:r w:rsidR="00750A28">
        <w:rPr>
          <w:rFonts w:ascii="Century Gothic" w:hAnsi="Century Gothic"/>
          <w:bCs/>
          <w:sz w:val="24"/>
          <w:szCs w:val="24"/>
        </w:rPr>
        <w:t xml:space="preserve">ly low </w:t>
      </w:r>
      <w:r w:rsidRPr="005B45EE">
        <w:rPr>
          <w:rFonts w:ascii="Century Gothic" w:hAnsi="Century Gothic"/>
          <w:bCs/>
          <w:sz w:val="24"/>
          <w:szCs w:val="24"/>
        </w:rPr>
        <w:t>capacity to conduct vaccine trials, generate and synthesize evidence to support new vaccine introduction</w:t>
      </w:r>
    </w:p>
    <w:p w14:paraId="648CDC74" w14:textId="22181A6C" w:rsidR="009F5E15" w:rsidRPr="009810E5" w:rsidRDefault="009F5E15" w:rsidP="00275A85">
      <w:pPr>
        <w:spacing w:after="160"/>
        <w:jc w:val="both"/>
        <w:rPr>
          <w:rFonts w:ascii="Century Gothic" w:hAnsi="Century Gothic"/>
          <w:bCs/>
          <w:sz w:val="24"/>
          <w:szCs w:val="24"/>
        </w:rPr>
      </w:pPr>
    </w:p>
    <w:p w14:paraId="11BA565D" w14:textId="7DAB84EE" w:rsidR="003E3CDD" w:rsidRPr="00750A28" w:rsidRDefault="00B57183" w:rsidP="00275A85">
      <w:pPr>
        <w:spacing w:after="160"/>
        <w:jc w:val="both"/>
        <w:rPr>
          <w:rFonts w:ascii="Century Gothic" w:hAnsi="Century Gothic"/>
          <w:b/>
          <w:bCs/>
          <w:iCs/>
          <w:sz w:val="24"/>
          <w:szCs w:val="24"/>
        </w:rPr>
      </w:pPr>
      <w:r w:rsidRPr="00750A28">
        <w:rPr>
          <w:rFonts w:ascii="Century Gothic" w:hAnsi="Century Gothic"/>
          <w:b/>
          <w:bCs/>
          <w:iCs/>
          <w:sz w:val="24"/>
          <w:szCs w:val="24"/>
        </w:rPr>
        <w:t>Consideration for equitable allocation</w:t>
      </w:r>
    </w:p>
    <w:p w14:paraId="23310A37" w14:textId="4E73C3B7" w:rsidR="008077C2" w:rsidRDefault="008077C2" w:rsidP="00275A85">
      <w:pPr>
        <w:pStyle w:val="ListParagraph"/>
        <w:numPr>
          <w:ilvl w:val="0"/>
          <w:numId w:val="10"/>
        </w:numPr>
        <w:spacing w:after="160"/>
        <w:jc w:val="both"/>
        <w:rPr>
          <w:rFonts w:ascii="Century Gothic" w:hAnsi="Century Gothic"/>
          <w:bCs/>
          <w:sz w:val="24"/>
          <w:szCs w:val="24"/>
        </w:rPr>
      </w:pPr>
      <w:r w:rsidRPr="008077C2">
        <w:rPr>
          <w:rFonts w:ascii="Century Gothic" w:hAnsi="Century Gothic"/>
          <w:bCs/>
          <w:sz w:val="24"/>
          <w:szCs w:val="24"/>
        </w:rPr>
        <w:t>Establishing a technical criterion for equitable distribution of vaccines;</w:t>
      </w:r>
    </w:p>
    <w:p w14:paraId="4B048E5C" w14:textId="66021B06" w:rsidR="008077C2" w:rsidRDefault="00B57183" w:rsidP="00275A85">
      <w:pPr>
        <w:pStyle w:val="ListParagraph"/>
        <w:numPr>
          <w:ilvl w:val="1"/>
          <w:numId w:val="10"/>
        </w:numPr>
        <w:spacing w:after="160"/>
        <w:jc w:val="both"/>
        <w:rPr>
          <w:rFonts w:ascii="Century Gothic" w:hAnsi="Century Gothic"/>
          <w:bCs/>
          <w:sz w:val="24"/>
          <w:szCs w:val="24"/>
        </w:rPr>
      </w:pPr>
      <w:r w:rsidRPr="008077C2">
        <w:rPr>
          <w:rFonts w:ascii="Century Gothic" w:hAnsi="Century Gothic"/>
          <w:bCs/>
          <w:sz w:val="24"/>
          <w:szCs w:val="24"/>
        </w:rPr>
        <w:t xml:space="preserve">Countries </w:t>
      </w:r>
      <w:r w:rsidR="00750A28">
        <w:rPr>
          <w:rFonts w:ascii="Century Gothic" w:hAnsi="Century Gothic"/>
          <w:bCs/>
          <w:sz w:val="24"/>
          <w:szCs w:val="24"/>
        </w:rPr>
        <w:t>should</w:t>
      </w:r>
      <w:r w:rsidRPr="008077C2">
        <w:rPr>
          <w:rFonts w:ascii="Century Gothic" w:hAnsi="Century Gothic"/>
          <w:bCs/>
          <w:sz w:val="24"/>
          <w:szCs w:val="24"/>
        </w:rPr>
        <w:t xml:space="preserve"> be allocated doses in proportion to their population size, initially in reduced quantities to enable every country to start by vaccinating their highest priority populations</w:t>
      </w:r>
      <w:r w:rsidR="00750A28">
        <w:rPr>
          <w:rFonts w:ascii="Century Gothic" w:hAnsi="Century Gothic"/>
          <w:bCs/>
          <w:sz w:val="24"/>
          <w:szCs w:val="24"/>
        </w:rPr>
        <w:t>.</w:t>
      </w:r>
    </w:p>
    <w:p w14:paraId="383D5DBB" w14:textId="622CA6A6" w:rsidR="00B57183" w:rsidRPr="008077C2" w:rsidRDefault="00B57183" w:rsidP="00275A85">
      <w:pPr>
        <w:pStyle w:val="ListParagraph"/>
        <w:numPr>
          <w:ilvl w:val="1"/>
          <w:numId w:val="10"/>
        </w:numPr>
        <w:spacing w:after="160"/>
        <w:jc w:val="both"/>
        <w:rPr>
          <w:rFonts w:ascii="Century Gothic" w:hAnsi="Century Gothic"/>
          <w:bCs/>
          <w:sz w:val="24"/>
          <w:szCs w:val="24"/>
        </w:rPr>
      </w:pPr>
      <w:r w:rsidRPr="008077C2">
        <w:rPr>
          <w:rFonts w:ascii="Century Gothic" w:hAnsi="Century Gothic"/>
          <w:bCs/>
          <w:sz w:val="24"/>
          <w:szCs w:val="24"/>
        </w:rPr>
        <w:t xml:space="preserve">A second level allocation to counties to reach additional populations </w:t>
      </w:r>
      <w:r w:rsidR="00750A28">
        <w:rPr>
          <w:rFonts w:ascii="Century Gothic" w:hAnsi="Century Gothic"/>
          <w:bCs/>
          <w:sz w:val="24"/>
          <w:szCs w:val="24"/>
        </w:rPr>
        <w:t xml:space="preserve">and </w:t>
      </w:r>
      <w:r w:rsidR="00303A34" w:rsidRPr="008077C2">
        <w:rPr>
          <w:rFonts w:ascii="Century Gothic" w:hAnsi="Century Gothic"/>
          <w:bCs/>
          <w:sz w:val="24"/>
          <w:szCs w:val="24"/>
        </w:rPr>
        <w:t xml:space="preserve">weighted </w:t>
      </w:r>
      <w:r w:rsidRPr="008077C2">
        <w:rPr>
          <w:rFonts w:ascii="Century Gothic" w:hAnsi="Century Gothic"/>
          <w:bCs/>
          <w:sz w:val="24"/>
          <w:szCs w:val="24"/>
        </w:rPr>
        <w:t>based on disease burden and national priorities</w:t>
      </w:r>
      <w:r w:rsidR="00750A28">
        <w:rPr>
          <w:rFonts w:ascii="Century Gothic" w:hAnsi="Century Gothic"/>
          <w:bCs/>
          <w:sz w:val="24"/>
          <w:szCs w:val="24"/>
        </w:rPr>
        <w:t>.</w:t>
      </w:r>
    </w:p>
    <w:p w14:paraId="50F12431" w14:textId="73FD943C" w:rsidR="00173D78" w:rsidRDefault="00173D78" w:rsidP="00275A85">
      <w:pPr>
        <w:pStyle w:val="ListParagraph"/>
        <w:numPr>
          <w:ilvl w:val="0"/>
          <w:numId w:val="10"/>
        </w:numPr>
        <w:spacing w:after="160"/>
        <w:jc w:val="both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 xml:space="preserve">The need to </w:t>
      </w:r>
      <w:r w:rsidRPr="00173D78">
        <w:rPr>
          <w:rFonts w:ascii="Century Gothic" w:hAnsi="Century Gothic"/>
          <w:bCs/>
          <w:sz w:val="24"/>
          <w:szCs w:val="24"/>
        </w:rPr>
        <w:t>counter market forces, th</w:t>
      </w:r>
      <w:r w:rsidR="00750A28">
        <w:rPr>
          <w:rFonts w:ascii="Century Gothic" w:hAnsi="Century Gothic"/>
          <w:bCs/>
          <w:sz w:val="24"/>
          <w:szCs w:val="24"/>
        </w:rPr>
        <w:t>us ensuring that all lives will</w:t>
      </w:r>
      <w:r w:rsidRPr="00173D78">
        <w:rPr>
          <w:rFonts w:ascii="Century Gothic" w:hAnsi="Century Gothic"/>
          <w:bCs/>
          <w:sz w:val="24"/>
          <w:szCs w:val="24"/>
        </w:rPr>
        <w:t xml:space="preserve"> count equally, regardless of </w:t>
      </w:r>
      <w:r w:rsidR="00750A28">
        <w:rPr>
          <w:rFonts w:ascii="Century Gothic" w:hAnsi="Century Gothic"/>
          <w:bCs/>
          <w:sz w:val="24"/>
          <w:szCs w:val="24"/>
        </w:rPr>
        <w:t xml:space="preserve">social and economic </w:t>
      </w:r>
      <w:r w:rsidRPr="00173D78">
        <w:rPr>
          <w:rFonts w:ascii="Century Gothic" w:hAnsi="Century Gothic"/>
          <w:bCs/>
          <w:sz w:val="24"/>
          <w:szCs w:val="24"/>
        </w:rPr>
        <w:t>status</w:t>
      </w:r>
      <w:r w:rsidR="00750A28">
        <w:rPr>
          <w:rFonts w:ascii="Century Gothic" w:hAnsi="Century Gothic"/>
          <w:bCs/>
          <w:sz w:val="24"/>
          <w:szCs w:val="24"/>
        </w:rPr>
        <w:t>.</w:t>
      </w:r>
    </w:p>
    <w:p w14:paraId="5AEBB2C5" w14:textId="2B0182A4" w:rsidR="00AB5650" w:rsidRDefault="00AB5650" w:rsidP="00275A85">
      <w:pPr>
        <w:pStyle w:val="ListParagraph"/>
        <w:numPr>
          <w:ilvl w:val="0"/>
          <w:numId w:val="10"/>
        </w:numPr>
        <w:spacing w:after="160"/>
        <w:jc w:val="both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 xml:space="preserve">The greatest incentive is to collaborate on equitable distribution by </w:t>
      </w:r>
      <w:r w:rsidRPr="00AB5650">
        <w:rPr>
          <w:rFonts w:ascii="Century Gothic" w:hAnsi="Century Gothic"/>
          <w:bCs/>
          <w:sz w:val="24"/>
          <w:szCs w:val="24"/>
        </w:rPr>
        <w:t xml:space="preserve">Governments </w:t>
      </w:r>
      <w:r>
        <w:rPr>
          <w:rFonts w:ascii="Century Gothic" w:hAnsi="Century Gothic"/>
          <w:bCs/>
          <w:sz w:val="24"/>
          <w:szCs w:val="24"/>
        </w:rPr>
        <w:t>noting the existing</w:t>
      </w:r>
      <w:r w:rsidRPr="00AB5650">
        <w:rPr>
          <w:rFonts w:ascii="Century Gothic" w:hAnsi="Century Gothic"/>
          <w:bCs/>
          <w:sz w:val="24"/>
          <w:szCs w:val="24"/>
        </w:rPr>
        <w:t xml:space="preserve"> uncertainty as to which nations’ vaccines and therapeutics will succeed</w:t>
      </w:r>
      <w:r w:rsidR="00750A28">
        <w:rPr>
          <w:rFonts w:ascii="Century Gothic" w:hAnsi="Century Gothic"/>
          <w:bCs/>
          <w:sz w:val="24"/>
          <w:szCs w:val="24"/>
        </w:rPr>
        <w:t>.</w:t>
      </w:r>
    </w:p>
    <w:p w14:paraId="6352D939" w14:textId="1CF62BF8" w:rsidR="008077C2" w:rsidRPr="00B57183" w:rsidRDefault="008077C2" w:rsidP="00275A85">
      <w:pPr>
        <w:pStyle w:val="ListParagraph"/>
        <w:numPr>
          <w:ilvl w:val="0"/>
          <w:numId w:val="10"/>
        </w:numPr>
        <w:spacing w:after="160"/>
        <w:jc w:val="both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Providing for adequate predictable financing mechanisms (as th</w:t>
      </w:r>
      <w:r w:rsidR="00750A28">
        <w:rPr>
          <w:rFonts w:ascii="Century Gothic" w:hAnsi="Century Gothic"/>
          <w:bCs/>
          <w:sz w:val="24"/>
          <w:szCs w:val="24"/>
        </w:rPr>
        <w:t>r</w:t>
      </w:r>
      <w:r>
        <w:rPr>
          <w:rFonts w:ascii="Century Gothic" w:hAnsi="Century Gothic"/>
          <w:bCs/>
          <w:sz w:val="24"/>
          <w:szCs w:val="24"/>
        </w:rPr>
        <w:t>ough the COVAX and ACT Accelerator)</w:t>
      </w:r>
      <w:r w:rsidRPr="008077C2">
        <w:rPr>
          <w:rFonts w:ascii="Century Gothic" w:hAnsi="Century Gothic"/>
          <w:bCs/>
          <w:sz w:val="24"/>
          <w:szCs w:val="24"/>
        </w:rPr>
        <w:t xml:space="preserve"> for research and development</w:t>
      </w:r>
      <w:r>
        <w:rPr>
          <w:rFonts w:ascii="Century Gothic" w:hAnsi="Century Gothic"/>
          <w:bCs/>
          <w:sz w:val="24"/>
          <w:szCs w:val="24"/>
        </w:rPr>
        <w:t>, and advance market commitment with</w:t>
      </w:r>
      <w:r w:rsidRPr="008077C2">
        <w:rPr>
          <w:rFonts w:ascii="Century Gothic" w:hAnsi="Century Gothic"/>
          <w:bCs/>
          <w:sz w:val="24"/>
          <w:szCs w:val="24"/>
        </w:rPr>
        <w:t xml:space="preserve"> deployment of vaccines and therapeutics in LMICs</w:t>
      </w:r>
      <w:r w:rsidR="00750A28">
        <w:rPr>
          <w:rFonts w:ascii="Century Gothic" w:hAnsi="Century Gothic"/>
          <w:bCs/>
          <w:sz w:val="24"/>
          <w:szCs w:val="24"/>
        </w:rPr>
        <w:t>.</w:t>
      </w:r>
    </w:p>
    <w:p w14:paraId="71A1AD50" w14:textId="77777777" w:rsidR="0078008E" w:rsidRPr="009810E5" w:rsidRDefault="0078008E" w:rsidP="00275A85">
      <w:pPr>
        <w:spacing w:after="160"/>
        <w:jc w:val="both"/>
        <w:rPr>
          <w:rFonts w:ascii="Century Gothic" w:hAnsi="Century Gothic"/>
          <w:bCs/>
          <w:sz w:val="24"/>
          <w:szCs w:val="24"/>
        </w:rPr>
      </w:pPr>
    </w:p>
    <w:p w14:paraId="6282D9C9" w14:textId="77777777" w:rsidR="0078008E" w:rsidRDefault="0078008E" w:rsidP="00275A85">
      <w:pPr>
        <w:jc w:val="both"/>
        <w:rPr>
          <w:rFonts w:ascii="Century Gothic" w:hAnsi="Century Gothic"/>
          <w:b/>
          <w:bCs/>
          <w:sz w:val="24"/>
          <w:szCs w:val="24"/>
        </w:rPr>
      </w:pPr>
      <w:r w:rsidRPr="003E3CDD">
        <w:rPr>
          <w:rFonts w:ascii="Century Gothic" w:hAnsi="Century Gothic"/>
          <w:b/>
          <w:bCs/>
          <w:sz w:val="24"/>
          <w:szCs w:val="24"/>
        </w:rPr>
        <w:t>COVAX and the</w:t>
      </w:r>
      <w:r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3E3CDD">
        <w:rPr>
          <w:rFonts w:ascii="Century Gothic" w:hAnsi="Century Gothic"/>
          <w:b/>
          <w:bCs/>
          <w:sz w:val="24"/>
          <w:szCs w:val="24"/>
        </w:rPr>
        <w:t>ACT Accelerator</w:t>
      </w:r>
    </w:p>
    <w:p w14:paraId="50E9DA72" w14:textId="77777777" w:rsidR="0078008E" w:rsidRDefault="0078008E" w:rsidP="00275A85">
      <w:pPr>
        <w:spacing w:after="160"/>
        <w:jc w:val="both"/>
        <w:rPr>
          <w:rFonts w:ascii="Century Gothic" w:hAnsi="Century Gothic"/>
          <w:bCs/>
          <w:sz w:val="24"/>
          <w:szCs w:val="24"/>
        </w:rPr>
      </w:pPr>
      <w:r w:rsidRPr="003D55D5">
        <w:rPr>
          <w:rFonts w:ascii="Century Gothic" w:hAnsi="Century Gothic"/>
          <w:bCs/>
          <w:sz w:val="24"/>
          <w:szCs w:val="24"/>
        </w:rPr>
        <w:t>Part of a worldwide effort to develop and deploy Advanced COVID Tools across vaccines, therapeutics and diagnostics</w:t>
      </w:r>
    </w:p>
    <w:p w14:paraId="57F891BE" w14:textId="77777777" w:rsidR="00027E9F" w:rsidRDefault="00027E9F" w:rsidP="00027E9F">
      <w:pPr>
        <w:spacing w:after="160"/>
        <w:jc w:val="both"/>
        <w:rPr>
          <w:rFonts w:ascii="Century Gothic" w:hAnsi="Century Gothic"/>
          <w:bCs/>
          <w:sz w:val="24"/>
          <w:szCs w:val="24"/>
        </w:rPr>
      </w:pPr>
      <w:r w:rsidRPr="00B93B14">
        <w:rPr>
          <w:rFonts w:ascii="Century Gothic" w:hAnsi="Century Gothic"/>
          <w:bCs/>
          <w:sz w:val="24"/>
          <w:szCs w:val="24"/>
        </w:rPr>
        <w:t xml:space="preserve">Launched </w:t>
      </w:r>
      <w:r w:rsidRPr="00052F32">
        <w:rPr>
          <w:rFonts w:ascii="Century Gothic" w:hAnsi="Century Gothic"/>
          <w:bCs/>
          <w:sz w:val="24"/>
          <w:szCs w:val="24"/>
        </w:rPr>
        <w:t xml:space="preserve">by WHO </w:t>
      </w:r>
      <w:r w:rsidRPr="00B93B14">
        <w:rPr>
          <w:rFonts w:ascii="Century Gothic" w:hAnsi="Century Gothic"/>
          <w:bCs/>
          <w:sz w:val="24"/>
          <w:szCs w:val="24"/>
        </w:rPr>
        <w:t>at the end of April 2020</w:t>
      </w:r>
      <w:r>
        <w:rPr>
          <w:rFonts w:ascii="Century Gothic" w:hAnsi="Century Gothic"/>
          <w:bCs/>
          <w:sz w:val="24"/>
          <w:szCs w:val="24"/>
        </w:rPr>
        <w:t xml:space="preserve">, the </w:t>
      </w:r>
      <w:r w:rsidRPr="00052F32">
        <w:rPr>
          <w:rFonts w:ascii="Century Gothic" w:hAnsi="Century Gothic"/>
          <w:bCs/>
          <w:sz w:val="24"/>
          <w:szCs w:val="24"/>
        </w:rPr>
        <w:t xml:space="preserve">Access to COVID-19 Tools (ACT) Accelerator </w:t>
      </w:r>
      <w:r>
        <w:rPr>
          <w:rFonts w:ascii="Century Gothic" w:hAnsi="Century Gothic"/>
          <w:bCs/>
          <w:sz w:val="24"/>
          <w:szCs w:val="24"/>
        </w:rPr>
        <w:t xml:space="preserve">is a framework for collaboration that </w:t>
      </w:r>
      <w:r w:rsidRPr="00B93B14">
        <w:rPr>
          <w:rFonts w:ascii="Century Gothic" w:hAnsi="Century Gothic"/>
          <w:bCs/>
          <w:sz w:val="24"/>
          <w:szCs w:val="24"/>
        </w:rPr>
        <w:t xml:space="preserve">brings together governments, scientists, businesses, civil society, and philanthropists and global health </w:t>
      </w:r>
      <w:r w:rsidRPr="00B93B14">
        <w:rPr>
          <w:rFonts w:ascii="Century Gothic" w:hAnsi="Century Gothic"/>
          <w:bCs/>
          <w:sz w:val="24"/>
          <w:szCs w:val="24"/>
        </w:rPr>
        <w:lastRenderedPageBreak/>
        <w:t>organizations</w:t>
      </w:r>
      <w:r>
        <w:rPr>
          <w:rFonts w:ascii="Century Gothic" w:hAnsi="Century Gothic"/>
          <w:bCs/>
          <w:sz w:val="24"/>
          <w:szCs w:val="24"/>
        </w:rPr>
        <w:t xml:space="preserve"> </w:t>
      </w:r>
      <w:r w:rsidRPr="00052F32">
        <w:rPr>
          <w:rFonts w:ascii="Century Gothic" w:hAnsi="Century Gothic"/>
          <w:bCs/>
          <w:sz w:val="24"/>
          <w:szCs w:val="24"/>
        </w:rPr>
        <w:t>to speed up the development, production and equitable access to COVID-19 diagnostics, therapeutics and vaccines.</w:t>
      </w:r>
      <w:r>
        <w:rPr>
          <w:rFonts w:ascii="Century Gothic" w:hAnsi="Century Gothic"/>
          <w:bCs/>
          <w:sz w:val="24"/>
          <w:szCs w:val="24"/>
        </w:rPr>
        <w:t xml:space="preserve"> With a </w:t>
      </w:r>
      <w:r w:rsidRPr="009C3CC5">
        <w:rPr>
          <w:rFonts w:ascii="Century Gothic" w:hAnsi="Century Gothic"/>
          <w:bCs/>
          <w:sz w:val="24"/>
          <w:szCs w:val="24"/>
        </w:rPr>
        <w:t>goal to end the COVID-19 pandemic as quickly as possible by reducing COVID-</w:t>
      </w:r>
      <w:r>
        <w:rPr>
          <w:rFonts w:ascii="Century Gothic" w:hAnsi="Century Gothic"/>
          <w:bCs/>
          <w:sz w:val="24"/>
          <w:szCs w:val="24"/>
        </w:rPr>
        <w:t>19 mortality and severe disease, t</w:t>
      </w:r>
      <w:r w:rsidRPr="009C3CC5">
        <w:rPr>
          <w:rFonts w:ascii="Century Gothic" w:hAnsi="Century Gothic"/>
          <w:bCs/>
          <w:sz w:val="24"/>
          <w:szCs w:val="24"/>
        </w:rPr>
        <w:t>he ACT-Accelerator is organized into four pillars of work: diagnostics, treatment, vaccines and health system strengthening.</w:t>
      </w:r>
    </w:p>
    <w:p w14:paraId="366E2CDE" w14:textId="00BE20C3" w:rsidR="0078008E" w:rsidRPr="00052F32" w:rsidRDefault="0078008E" w:rsidP="00275A85">
      <w:pPr>
        <w:spacing w:after="1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 xml:space="preserve">The </w:t>
      </w:r>
      <w:r w:rsidRPr="00052F32">
        <w:rPr>
          <w:rFonts w:ascii="Century Gothic" w:hAnsi="Century Gothic"/>
          <w:sz w:val="24"/>
          <w:szCs w:val="24"/>
        </w:rPr>
        <w:t xml:space="preserve">COVID Vaccine </w:t>
      </w:r>
      <w:r w:rsidR="00324EBA">
        <w:rPr>
          <w:rFonts w:ascii="Century Gothic" w:hAnsi="Century Gothic"/>
          <w:sz w:val="24"/>
          <w:szCs w:val="24"/>
        </w:rPr>
        <w:t>facility</w:t>
      </w:r>
      <w:r w:rsidR="00324EBA" w:rsidRPr="00052F32">
        <w:rPr>
          <w:rFonts w:ascii="Century Gothic" w:hAnsi="Century Gothic"/>
          <w:sz w:val="24"/>
          <w:szCs w:val="24"/>
        </w:rPr>
        <w:t xml:space="preserve"> </w:t>
      </w:r>
      <w:r w:rsidRPr="00052F32">
        <w:rPr>
          <w:rFonts w:ascii="Century Gothic" w:hAnsi="Century Gothic"/>
          <w:sz w:val="24"/>
          <w:szCs w:val="24"/>
        </w:rPr>
        <w:t>(COVAX)</w:t>
      </w:r>
      <w:r>
        <w:rPr>
          <w:rFonts w:ascii="Century Gothic" w:hAnsi="Century Gothic"/>
          <w:sz w:val="24"/>
          <w:szCs w:val="24"/>
        </w:rPr>
        <w:t xml:space="preserve"> is a g</w:t>
      </w:r>
      <w:r w:rsidR="00324EBA">
        <w:rPr>
          <w:rFonts w:ascii="Century Gothic" w:hAnsi="Century Gothic"/>
          <w:sz w:val="24"/>
          <w:szCs w:val="24"/>
        </w:rPr>
        <w:t>lobal u</w:t>
      </w:r>
      <w:r w:rsidRPr="00052F32">
        <w:rPr>
          <w:rFonts w:ascii="Century Gothic" w:hAnsi="Century Gothic"/>
          <w:sz w:val="24"/>
          <w:szCs w:val="24"/>
        </w:rPr>
        <w:t xml:space="preserve">mbrella </w:t>
      </w:r>
      <w:r w:rsidR="00B93B14" w:rsidRPr="00052F32">
        <w:rPr>
          <w:rFonts w:ascii="Century Gothic" w:hAnsi="Century Gothic"/>
          <w:sz w:val="24"/>
          <w:szCs w:val="24"/>
        </w:rPr>
        <w:t>facility</w:t>
      </w:r>
      <w:r w:rsidR="00B93B14">
        <w:rPr>
          <w:rFonts w:ascii="Century Gothic" w:hAnsi="Century Gothic"/>
          <w:sz w:val="24"/>
          <w:szCs w:val="24"/>
        </w:rPr>
        <w:t>;</w:t>
      </w:r>
      <w:r>
        <w:rPr>
          <w:rFonts w:ascii="Century Gothic" w:hAnsi="Century Gothic"/>
          <w:sz w:val="24"/>
          <w:szCs w:val="24"/>
        </w:rPr>
        <w:t xml:space="preserve"> hosted by </w:t>
      </w:r>
      <w:proofErr w:type="spellStart"/>
      <w:r>
        <w:rPr>
          <w:rFonts w:ascii="Century Gothic" w:hAnsi="Century Gothic"/>
          <w:sz w:val="24"/>
          <w:szCs w:val="24"/>
        </w:rPr>
        <w:t>Gavi</w:t>
      </w:r>
      <w:proofErr w:type="spellEnd"/>
      <w:r>
        <w:rPr>
          <w:rFonts w:ascii="Century Gothic" w:hAnsi="Century Gothic"/>
          <w:sz w:val="24"/>
          <w:szCs w:val="24"/>
        </w:rPr>
        <w:t xml:space="preserve"> and </w:t>
      </w:r>
      <w:r w:rsidR="00027E9F">
        <w:rPr>
          <w:rFonts w:ascii="Century Gothic" w:hAnsi="Century Gothic"/>
          <w:sz w:val="24"/>
          <w:szCs w:val="24"/>
        </w:rPr>
        <w:t xml:space="preserve">one of the ACT pillars. It is </w:t>
      </w:r>
      <w:r w:rsidRPr="00052F32">
        <w:rPr>
          <w:rFonts w:ascii="Century Gothic" w:hAnsi="Century Gothic"/>
          <w:sz w:val="24"/>
          <w:szCs w:val="24"/>
        </w:rPr>
        <w:t xml:space="preserve">intended to facilitate access </w:t>
      </w:r>
      <w:r w:rsidR="00B93B14">
        <w:rPr>
          <w:rFonts w:ascii="Century Gothic" w:hAnsi="Century Gothic"/>
          <w:sz w:val="24"/>
          <w:szCs w:val="24"/>
        </w:rPr>
        <w:t xml:space="preserve">to </w:t>
      </w:r>
      <w:r w:rsidRPr="00052F32">
        <w:rPr>
          <w:rFonts w:ascii="Century Gothic" w:hAnsi="Century Gothic"/>
          <w:sz w:val="24"/>
          <w:szCs w:val="24"/>
        </w:rPr>
        <w:t>successfully tested vaccines in a timely manner and at lower cost through pooled demand and resources for procurement</w:t>
      </w:r>
      <w:r w:rsidR="00324EBA">
        <w:rPr>
          <w:rFonts w:ascii="Century Gothic" w:hAnsi="Century Gothic"/>
          <w:sz w:val="24"/>
          <w:szCs w:val="24"/>
        </w:rPr>
        <w:t>.</w:t>
      </w:r>
      <w:r w:rsidR="00027E9F">
        <w:rPr>
          <w:rFonts w:ascii="Century Gothic" w:hAnsi="Century Gothic"/>
          <w:sz w:val="24"/>
          <w:szCs w:val="24"/>
        </w:rPr>
        <w:t xml:space="preserve"> It has been touted as </w:t>
      </w:r>
      <w:r w:rsidR="00027E9F" w:rsidRPr="00027E9F">
        <w:rPr>
          <w:rFonts w:ascii="Century Gothic" w:hAnsi="Century Gothic"/>
          <w:sz w:val="24"/>
          <w:szCs w:val="24"/>
        </w:rPr>
        <w:t>the only truly global solution to this pandemic because it is the only effort to ensure that people in all corners of the world will get access to COVID-19 vaccines once they are available, regardless of their wealth.</w:t>
      </w:r>
      <w:bookmarkStart w:id="0" w:name="_GoBack"/>
      <w:bookmarkEnd w:id="0"/>
    </w:p>
    <w:p w14:paraId="39FAC2F6" w14:textId="5C6945C8" w:rsidR="0078008E" w:rsidRPr="00052F32" w:rsidRDefault="0078008E" w:rsidP="00275A85">
      <w:pPr>
        <w:spacing w:after="160"/>
        <w:jc w:val="both"/>
        <w:rPr>
          <w:rFonts w:ascii="Century Gothic" w:hAnsi="Century Gothic"/>
          <w:bCs/>
          <w:sz w:val="24"/>
          <w:szCs w:val="24"/>
        </w:rPr>
      </w:pPr>
      <w:r w:rsidRPr="00052F32">
        <w:rPr>
          <w:rFonts w:ascii="Century Gothic" w:hAnsi="Century Gothic"/>
          <w:bCs/>
          <w:sz w:val="24"/>
          <w:szCs w:val="24"/>
        </w:rPr>
        <w:t>The</w:t>
      </w:r>
      <w:r w:rsidR="00B93B14">
        <w:rPr>
          <w:rFonts w:ascii="Century Gothic" w:hAnsi="Century Gothic"/>
          <w:bCs/>
          <w:sz w:val="24"/>
          <w:szCs w:val="24"/>
        </w:rPr>
        <w:t>se</w:t>
      </w:r>
      <w:r w:rsidRPr="00052F32">
        <w:rPr>
          <w:rFonts w:ascii="Century Gothic" w:hAnsi="Century Gothic"/>
          <w:bCs/>
          <w:sz w:val="24"/>
          <w:szCs w:val="24"/>
        </w:rPr>
        <w:t xml:space="preserve"> two initiatives bring together leaders of government, global health organizations civil society groups, businesses and philanthropies to form a plan for an equitable response to the COVID-19 pandemic. </w:t>
      </w:r>
    </w:p>
    <w:p w14:paraId="6416394C" w14:textId="77777777" w:rsidR="0078008E" w:rsidRPr="003D55D5" w:rsidRDefault="0078008E" w:rsidP="00275A85">
      <w:pPr>
        <w:spacing w:after="160"/>
        <w:jc w:val="both"/>
        <w:rPr>
          <w:rFonts w:ascii="Century Gothic" w:hAnsi="Century Gothic"/>
          <w:bCs/>
          <w:sz w:val="24"/>
          <w:szCs w:val="24"/>
        </w:rPr>
      </w:pPr>
      <w:r w:rsidRPr="00052F32">
        <w:rPr>
          <w:rFonts w:ascii="Century Gothic" w:hAnsi="Century Gothic"/>
          <w:bCs/>
          <w:sz w:val="24"/>
          <w:szCs w:val="24"/>
        </w:rPr>
        <w:t xml:space="preserve">WHO is collaborating with </w:t>
      </w:r>
      <w:proofErr w:type="spellStart"/>
      <w:r w:rsidRPr="00052F32">
        <w:rPr>
          <w:rFonts w:ascii="Century Gothic" w:hAnsi="Century Gothic"/>
          <w:bCs/>
          <w:sz w:val="24"/>
          <w:szCs w:val="24"/>
        </w:rPr>
        <w:t>Gavi</w:t>
      </w:r>
      <w:proofErr w:type="spellEnd"/>
      <w:r w:rsidRPr="00052F32">
        <w:rPr>
          <w:rFonts w:ascii="Century Gothic" w:hAnsi="Century Gothic"/>
          <w:bCs/>
          <w:sz w:val="24"/>
          <w:szCs w:val="24"/>
        </w:rPr>
        <w:t xml:space="preserve">, the Vaccine Alliance and the Coalition for Epidemic Preparedness Innovations (CEPI) to ensure a fair allocation of vaccines to all countries, aiming to deliver 2 billion doses globally for high-risk populations, including 1 billion for low and middle-income </w:t>
      </w:r>
      <w:proofErr w:type="gramStart"/>
      <w:r w:rsidRPr="00052F32">
        <w:rPr>
          <w:rFonts w:ascii="Century Gothic" w:hAnsi="Century Gothic"/>
          <w:bCs/>
          <w:sz w:val="24"/>
          <w:szCs w:val="24"/>
        </w:rPr>
        <w:t>countries.</w:t>
      </w:r>
      <w:proofErr w:type="gramEnd"/>
    </w:p>
    <w:p w14:paraId="30C78763" w14:textId="77777777" w:rsidR="0078008E" w:rsidRDefault="0078008E" w:rsidP="00275A85">
      <w:pPr>
        <w:jc w:val="both"/>
        <w:rPr>
          <w:rFonts w:ascii="Century Gothic" w:hAnsi="Century Gothic"/>
          <w:b/>
          <w:bCs/>
          <w:sz w:val="24"/>
          <w:szCs w:val="24"/>
        </w:rPr>
      </w:pPr>
    </w:p>
    <w:p w14:paraId="52B41C5B" w14:textId="1EE420B5" w:rsidR="0078008E" w:rsidRPr="00A5462B" w:rsidRDefault="0078008E" w:rsidP="00275A85">
      <w:pPr>
        <w:jc w:val="both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Current </w:t>
      </w:r>
      <w:r w:rsidRPr="00841AC4">
        <w:rPr>
          <w:rFonts w:ascii="Century Gothic" w:hAnsi="Century Gothic"/>
          <w:b/>
          <w:bCs/>
          <w:sz w:val="24"/>
          <w:szCs w:val="24"/>
        </w:rPr>
        <w:t>Rationale for planned allocations</w:t>
      </w:r>
      <w:r>
        <w:rPr>
          <w:rFonts w:ascii="Century Gothic" w:hAnsi="Century Gothic"/>
          <w:b/>
          <w:bCs/>
          <w:sz w:val="24"/>
          <w:szCs w:val="24"/>
        </w:rPr>
        <w:t xml:space="preserve">- Kenyan Perspective </w:t>
      </w:r>
    </w:p>
    <w:p w14:paraId="62B0C1B2" w14:textId="372649AB" w:rsidR="0078008E" w:rsidRDefault="0078008E" w:rsidP="00275A85">
      <w:pPr>
        <w:spacing w:after="160"/>
        <w:jc w:val="both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 xml:space="preserve">The country is working </w:t>
      </w:r>
      <w:r w:rsidRPr="00525BE9">
        <w:rPr>
          <w:rFonts w:ascii="Century Gothic" w:hAnsi="Century Gothic"/>
          <w:bCs/>
          <w:sz w:val="24"/>
          <w:szCs w:val="24"/>
        </w:rPr>
        <w:t xml:space="preserve">identify </w:t>
      </w:r>
      <w:r>
        <w:rPr>
          <w:rFonts w:ascii="Century Gothic" w:hAnsi="Century Gothic"/>
          <w:bCs/>
          <w:sz w:val="24"/>
          <w:szCs w:val="24"/>
        </w:rPr>
        <w:t>priority population</w:t>
      </w:r>
      <w:r w:rsidR="00223359">
        <w:rPr>
          <w:rFonts w:ascii="Century Gothic" w:hAnsi="Century Gothic"/>
          <w:bCs/>
          <w:sz w:val="24"/>
          <w:szCs w:val="24"/>
        </w:rPr>
        <w:t xml:space="preserve">s, vaccine delivery strategies </w:t>
      </w:r>
      <w:r>
        <w:rPr>
          <w:rFonts w:ascii="Century Gothic" w:hAnsi="Century Gothic"/>
          <w:bCs/>
          <w:sz w:val="24"/>
          <w:szCs w:val="24"/>
        </w:rPr>
        <w:t xml:space="preserve">and scope of vaccination, and leveraging </w:t>
      </w:r>
      <w:r w:rsidRPr="00525BE9">
        <w:rPr>
          <w:rFonts w:ascii="Century Gothic" w:hAnsi="Century Gothic"/>
          <w:bCs/>
          <w:sz w:val="24"/>
          <w:szCs w:val="24"/>
        </w:rPr>
        <w:t>pro-equity strategies and activities</w:t>
      </w:r>
      <w:r>
        <w:rPr>
          <w:rFonts w:ascii="Century Gothic" w:hAnsi="Century Gothic"/>
          <w:bCs/>
          <w:sz w:val="24"/>
          <w:szCs w:val="24"/>
        </w:rPr>
        <w:t xml:space="preserve"> for routine immunization, to assure equitable allocations locally, through:</w:t>
      </w:r>
    </w:p>
    <w:p w14:paraId="3203C66C" w14:textId="77777777" w:rsidR="0078008E" w:rsidRDefault="0078008E" w:rsidP="00275A85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Consideration of d</w:t>
      </w:r>
      <w:r w:rsidRPr="004851AD">
        <w:rPr>
          <w:rFonts w:ascii="Century Gothic" w:hAnsi="Century Gothic"/>
          <w:sz w:val="24"/>
          <w:szCs w:val="24"/>
        </w:rPr>
        <w:t xml:space="preserve">isease burden </w:t>
      </w:r>
      <w:r>
        <w:rPr>
          <w:rFonts w:ascii="Century Gothic" w:hAnsi="Century Gothic"/>
          <w:sz w:val="24"/>
          <w:szCs w:val="24"/>
        </w:rPr>
        <w:t>and</w:t>
      </w:r>
      <w:r w:rsidRPr="004851AD">
        <w:rPr>
          <w:rFonts w:ascii="Century Gothic" w:hAnsi="Century Gothic"/>
          <w:sz w:val="24"/>
          <w:szCs w:val="24"/>
        </w:rPr>
        <w:t xml:space="preserve"> epidemiology</w:t>
      </w:r>
      <w:r>
        <w:rPr>
          <w:rFonts w:ascii="Century Gothic" w:hAnsi="Century Gothic"/>
          <w:sz w:val="24"/>
          <w:szCs w:val="24"/>
        </w:rPr>
        <w:t xml:space="preserve"> (Risk Groups)</w:t>
      </w:r>
    </w:p>
    <w:p w14:paraId="55DFE145" w14:textId="77777777" w:rsidR="0078008E" w:rsidRDefault="0078008E" w:rsidP="00275A85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r w:rsidRPr="005C2B87">
        <w:rPr>
          <w:rFonts w:ascii="Century Gothic" w:hAnsi="Century Gothic"/>
          <w:sz w:val="24"/>
          <w:szCs w:val="24"/>
        </w:rPr>
        <w:t xml:space="preserve">Consideration of vaccine schedules, </w:t>
      </w:r>
      <w:r>
        <w:rPr>
          <w:rFonts w:ascii="Century Gothic" w:hAnsi="Century Gothic"/>
          <w:sz w:val="24"/>
          <w:szCs w:val="24"/>
        </w:rPr>
        <w:t>s</w:t>
      </w:r>
      <w:r w:rsidRPr="005C2B87">
        <w:rPr>
          <w:rFonts w:ascii="Century Gothic" w:hAnsi="Century Gothic"/>
          <w:sz w:val="24"/>
          <w:szCs w:val="24"/>
        </w:rPr>
        <w:t>cope of vaccination</w:t>
      </w:r>
      <w:r>
        <w:rPr>
          <w:rFonts w:ascii="Century Gothic" w:hAnsi="Century Gothic"/>
          <w:sz w:val="24"/>
          <w:szCs w:val="24"/>
        </w:rPr>
        <w:t xml:space="preserve"> and possibility of integration into existing vaccination schedules</w:t>
      </w:r>
    </w:p>
    <w:p w14:paraId="52E4E57C" w14:textId="3244A103" w:rsidR="00223359" w:rsidRPr="005C2B87" w:rsidRDefault="00223359" w:rsidP="00275A85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Vaccine delivery structures as current child immunization structure may not be able to cope with the increased demand</w:t>
      </w:r>
    </w:p>
    <w:p w14:paraId="08D1EB36" w14:textId="77777777" w:rsidR="0078008E" w:rsidRDefault="0078008E" w:rsidP="00275A85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</w:t>
      </w:r>
      <w:r w:rsidRPr="00F73E4B">
        <w:rPr>
          <w:rFonts w:ascii="Century Gothic" w:hAnsi="Century Gothic"/>
          <w:sz w:val="24"/>
          <w:szCs w:val="24"/>
        </w:rPr>
        <w:t xml:space="preserve">xistence and effectiveness of other </w:t>
      </w:r>
      <w:r>
        <w:rPr>
          <w:rFonts w:ascii="Century Gothic" w:hAnsi="Century Gothic"/>
          <w:sz w:val="24"/>
          <w:szCs w:val="24"/>
        </w:rPr>
        <w:t xml:space="preserve">control </w:t>
      </w:r>
      <w:r w:rsidRPr="00F73E4B">
        <w:rPr>
          <w:rFonts w:ascii="Century Gothic" w:hAnsi="Century Gothic"/>
          <w:sz w:val="24"/>
          <w:szCs w:val="24"/>
        </w:rPr>
        <w:t xml:space="preserve">strategies </w:t>
      </w:r>
    </w:p>
    <w:p w14:paraId="7839339B" w14:textId="77777777" w:rsidR="0078008E" w:rsidRPr="008F71A5" w:rsidRDefault="0078008E" w:rsidP="00275A85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</w:t>
      </w:r>
      <w:r w:rsidRPr="00F73E4B">
        <w:rPr>
          <w:rFonts w:ascii="Century Gothic" w:hAnsi="Century Gothic"/>
          <w:sz w:val="24"/>
          <w:szCs w:val="24"/>
        </w:rPr>
        <w:t xml:space="preserve">conomic and financial </w:t>
      </w:r>
      <w:r>
        <w:rPr>
          <w:rFonts w:ascii="Century Gothic" w:hAnsi="Century Gothic"/>
          <w:sz w:val="24"/>
          <w:szCs w:val="24"/>
        </w:rPr>
        <w:t xml:space="preserve">Implications of the different approaches </w:t>
      </w:r>
      <w:r w:rsidRPr="008F71A5">
        <w:rPr>
          <w:rFonts w:ascii="Century Gothic" w:hAnsi="Century Gothic"/>
          <w:sz w:val="24"/>
          <w:szCs w:val="24"/>
        </w:rPr>
        <w:t>(cost, affordability, and cost-effectiveness; with Domestic and Donor support)</w:t>
      </w:r>
    </w:p>
    <w:p w14:paraId="457DBBF7" w14:textId="77777777" w:rsidR="0078008E" w:rsidRDefault="0078008E" w:rsidP="00275A85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r w:rsidRPr="00F73E4B">
        <w:rPr>
          <w:rFonts w:ascii="Century Gothic" w:hAnsi="Century Gothic"/>
          <w:sz w:val="24"/>
          <w:szCs w:val="24"/>
        </w:rPr>
        <w:t xml:space="preserve">Assurance of a </w:t>
      </w:r>
      <w:r>
        <w:rPr>
          <w:rFonts w:ascii="Century Gothic" w:hAnsi="Century Gothic"/>
          <w:sz w:val="24"/>
          <w:szCs w:val="24"/>
        </w:rPr>
        <w:t>sustainable and uninterrupted vaccine supply for the country</w:t>
      </w:r>
    </w:p>
    <w:p w14:paraId="03A0D9E9" w14:textId="77777777" w:rsidR="0078008E" w:rsidRDefault="0078008E" w:rsidP="00275A85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Consideration of vaccine effectiveness with age</w:t>
      </w:r>
    </w:p>
    <w:p w14:paraId="4CD477B1" w14:textId="77777777" w:rsidR="0078008E" w:rsidRPr="008F6027" w:rsidRDefault="0078008E" w:rsidP="00275A85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priority populations under consideration are:</w:t>
      </w:r>
    </w:p>
    <w:p w14:paraId="0E00960C" w14:textId="77777777" w:rsidR="0078008E" w:rsidRPr="008F6027" w:rsidRDefault="0078008E" w:rsidP="00275A85">
      <w:pPr>
        <w:pStyle w:val="ListParagraph"/>
        <w:numPr>
          <w:ilvl w:val="0"/>
          <w:numId w:val="5"/>
        </w:numPr>
        <w:spacing w:after="160"/>
        <w:jc w:val="both"/>
        <w:rPr>
          <w:rFonts w:ascii="Century Gothic" w:hAnsi="Century Gothic"/>
          <w:bCs/>
          <w:sz w:val="24"/>
          <w:szCs w:val="24"/>
        </w:rPr>
      </w:pPr>
      <w:r w:rsidRPr="008F6027">
        <w:rPr>
          <w:rFonts w:ascii="Century Gothic" w:hAnsi="Century Gothic"/>
          <w:bCs/>
          <w:sz w:val="24"/>
          <w:szCs w:val="24"/>
        </w:rPr>
        <w:t>Frontline healthcare workers</w:t>
      </w:r>
    </w:p>
    <w:p w14:paraId="47890E8B" w14:textId="77777777" w:rsidR="0078008E" w:rsidRPr="008F6027" w:rsidRDefault="0078008E" w:rsidP="00275A85">
      <w:pPr>
        <w:pStyle w:val="ListParagraph"/>
        <w:numPr>
          <w:ilvl w:val="0"/>
          <w:numId w:val="5"/>
        </w:numPr>
        <w:spacing w:after="160"/>
        <w:jc w:val="both"/>
        <w:rPr>
          <w:rFonts w:ascii="Century Gothic" w:hAnsi="Century Gothic"/>
          <w:bCs/>
          <w:sz w:val="24"/>
          <w:szCs w:val="24"/>
        </w:rPr>
      </w:pPr>
      <w:r w:rsidRPr="008F6027">
        <w:rPr>
          <w:rFonts w:ascii="Century Gothic" w:hAnsi="Century Gothic"/>
          <w:bCs/>
          <w:sz w:val="24"/>
          <w:szCs w:val="24"/>
        </w:rPr>
        <w:t>The Elderly</w:t>
      </w:r>
    </w:p>
    <w:p w14:paraId="6FFFCF92" w14:textId="77777777" w:rsidR="0078008E" w:rsidRDefault="0078008E" w:rsidP="00275A85">
      <w:pPr>
        <w:pStyle w:val="ListParagraph"/>
        <w:numPr>
          <w:ilvl w:val="0"/>
          <w:numId w:val="5"/>
        </w:numPr>
        <w:spacing w:after="160"/>
        <w:jc w:val="both"/>
        <w:rPr>
          <w:rFonts w:ascii="Century Gothic" w:hAnsi="Century Gothic"/>
          <w:bCs/>
          <w:sz w:val="24"/>
          <w:szCs w:val="24"/>
        </w:rPr>
      </w:pPr>
      <w:r w:rsidRPr="008F6027">
        <w:rPr>
          <w:rFonts w:ascii="Century Gothic" w:hAnsi="Century Gothic"/>
          <w:bCs/>
          <w:sz w:val="24"/>
          <w:szCs w:val="24"/>
        </w:rPr>
        <w:t>Individuals with comorbid conditions</w:t>
      </w:r>
    </w:p>
    <w:p w14:paraId="43CB1584" w14:textId="77777777" w:rsidR="0078008E" w:rsidRDefault="0078008E" w:rsidP="00275A85">
      <w:pPr>
        <w:pStyle w:val="ListParagraph"/>
        <w:numPr>
          <w:ilvl w:val="0"/>
          <w:numId w:val="5"/>
        </w:numPr>
        <w:spacing w:after="160"/>
        <w:jc w:val="both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 xml:space="preserve">Captive Populations like Prisoners, Refugee populations, Displaced persons </w:t>
      </w:r>
      <w:proofErr w:type="spellStart"/>
      <w:r>
        <w:rPr>
          <w:rFonts w:ascii="Century Gothic" w:hAnsi="Century Gothic"/>
          <w:bCs/>
          <w:sz w:val="24"/>
          <w:szCs w:val="24"/>
        </w:rPr>
        <w:t>etc</w:t>
      </w:r>
      <w:proofErr w:type="spellEnd"/>
    </w:p>
    <w:p w14:paraId="7A1760DC" w14:textId="72775127" w:rsidR="00245353" w:rsidRDefault="0078008E" w:rsidP="00275A85">
      <w:pPr>
        <w:spacing w:after="160"/>
        <w:jc w:val="both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 xml:space="preserve">The main challenge to equitable allocation remains the supply constraints for the </w:t>
      </w:r>
      <w:proofErr w:type="gramStart"/>
      <w:r>
        <w:rPr>
          <w:rFonts w:ascii="Century Gothic" w:hAnsi="Century Gothic"/>
          <w:bCs/>
          <w:sz w:val="24"/>
          <w:szCs w:val="24"/>
        </w:rPr>
        <w:t>vaccine</w:t>
      </w:r>
      <w:proofErr w:type="gramEnd"/>
      <w:r w:rsidR="00FF5FFB">
        <w:rPr>
          <w:rFonts w:ascii="Century Gothic" w:hAnsi="Century Gothic"/>
          <w:bCs/>
          <w:sz w:val="24"/>
          <w:szCs w:val="24"/>
        </w:rPr>
        <w:t xml:space="preserve"> as the entire world will be competing for the few available doses.</w:t>
      </w:r>
    </w:p>
    <w:sectPr w:rsidR="002453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F0697"/>
    <w:multiLevelType w:val="hybridMultilevel"/>
    <w:tmpl w:val="0C7654E4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591B71"/>
    <w:multiLevelType w:val="hybridMultilevel"/>
    <w:tmpl w:val="C3644C3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64DE4"/>
    <w:multiLevelType w:val="hybridMultilevel"/>
    <w:tmpl w:val="AF8E4B8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D09B9"/>
    <w:multiLevelType w:val="hybridMultilevel"/>
    <w:tmpl w:val="7696CD92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62654B5"/>
    <w:multiLevelType w:val="hybridMultilevel"/>
    <w:tmpl w:val="C2607974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FD2A5A"/>
    <w:multiLevelType w:val="multilevel"/>
    <w:tmpl w:val="F3C44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FB460FF"/>
    <w:multiLevelType w:val="hybridMultilevel"/>
    <w:tmpl w:val="A7726E00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F0566A"/>
    <w:multiLevelType w:val="hybridMultilevel"/>
    <w:tmpl w:val="C2607974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3EA5039"/>
    <w:multiLevelType w:val="multilevel"/>
    <w:tmpl w:val="9FCCD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93D256C"/>
    <w:multiLevelType w:val="hybridMultilevel"/>
    <w:tmpl w:val="97787E60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C066E5"/>
    <w:multiLevelType w:val="hybridMultilevel"/>
    <w:tmpl w:val="6D2806FA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10"/>
  </w:num>
  <w:num w:numId="9">
    <w:abstractNumId w:val="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060"/>
    <w:rsid w:val="00027E9F"/>
    <w:rsid w:val="00052F32"/>
    <w:rsid w:val="000F2264"/>
    <w:rsid w:val="00173D78"/>
    <w:rsid w:val="00223359"/>
    <w:rsid w:val="00245353"/>
    <w:rsid w:val="00245D14"/>
    <w:rsid w:val="00275A85"/>
    <w:rsid w:val="002805DF"/>
    <w:rsid w:val="00303A34"/>
    <w:rsid w:val="0031619C"/>
    <w:rsid w:val="00324EBA"/>
    <w:rsid w:val="003D55D5"/>
    <w:rsid w:val="003E3CDD"/>
    <w:rsid w:val="00633E90"/>
    <w:rsid w:val="00670565"/>
    <w:rsid w:val="006747E6"/>
    <w:rsid w:val="006D7FE0"/>
    <w:rsid w:val="00744C06"/>
    <w:rsid w:val="007455C5"/>
    <w:rsid w:val="00750A28"/>
    <w:rsid w:val="0078008E"/>
    <w:rsid w:val="007A147B"/>
    <w:rsid w:val="007B0C8C"/>
    <w:rsid w:val="008077C2"/>
    <w:rsid w:val="009810E5"/>
    <w:rsid w:val="009C3CC5"/>
    <w:rsid w:val="009F5E15"/>
    <w:rsid w:val="00AB5650"/>
    <w:rsid w:val="00AE31B8"/>
    <w:rsid w:val="00AF0AEF"/>
    <w:rsid w:val="00B57183"/>
    <w:rsid w:val="00B673AD"/>
    <w:rsid w:val="00B80682"/>
    <w:rsid w:val="00B93B14"/>
    <w:rsid w:val="00D46775"/>
    <w:rsid w:val="00D8417C"/>
    <w:rsid w:val="00E70B8D"/>
    <w:rsid w:val="00F0720D"/>
    <w:rsid w:val="00F51060"/>
    <w:rsid w:val="00F75697"/>
    <w:rsid w:val="00F91ED8"/>
    <w:rsid w:val="00FF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F5F1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character" w:styleId="Hyperlink">
    <w:name w:val="Hyperlink"/>
    <w:basedOn w:val="DefaultParagraphFont"/>
    <w:uiPriority w:val="99"/>
    <w:semiHidden/>
    <w:unhideWhenUsed/>
    <w:rsid w:val="00245353"/>
    <w:rPr>
      <w:color w:val="0000FF"/>
      <w:u w:val="single"/>
    </w:rPr>
  </w:style>
  <w:style w:type="paragraph" w:styleId="ListParagraph">
    <w:name w:val="List Paragraph"/>
    <w:aliases w:val="Citation List,List Paragraph (numbered (a)),References,ReferencesCxSpLast,lp1,Bullet List,FooterText,List Paragraph1,Colorful List Accent 1,Colorful List - Accent 11,MCHIP_list paragraph,Recommendation,PCA-§list,Liste couleur - Accent 11"/>
    <w:basedOn w:val="Normal"/>
    <w:link w:val="ListParagraphChar"/>
    <w:uiPriority w:val="34"/>
    <w:qFormat/>
    <w:rsid w:val="00245353"/>
    <w:pPr>
      <w:ind w:left="720"/>
      <w:contextualSpacing/>
    </w:pPr>
  </w:style>
  <w:style w:type="character" w:customStyle="1" w:styleId="ListParagraphChar">
    <w:name w:val="List Paragraph Char"/>
    <w:aliases w:val="Citation List Char,List Paragraph (numbered (a)) Char,References Char,ReferencesCxSpLast Char,lp1 Char,Bullet List Char,FooterText Char,List Paragraph1 Char,Colorful List Accent 1 Char,Colorful List - Accent 11 Char,PCA-§list Char"/>
    <w:link w:val="ListParagraph"/>
    <w:uiPriority w:val="34"/>
    <w:qFormat/>
    <w:rsid w:val="0024535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character" w:styleId="Hyperlink">
    <w:name w:val="Hyperlink"/>
    <w:basedOn w:val="DefaultParagraphFont"/>
    <w:uiPriority w:val="99"/>
    <w:semiHidden/>
    <w:unhideWhenUsed/>
    <w:rsid w:val="00245353"/>
    <w:rPr>
      <w:color w:val="0000FF"/>
      <w:u w:val="single"/>
    </w:rPr>
  </w:style>
  <w:style w:type="paragraph" w:styleId="ListParagraph">
    <w:name w:val="List Paragraph"/>
    <w:aliases w:val="Citation List,List Paragraph (numbered (a)),References,ReferencesCxSpLast,lp1,Bullet List,FooterText,List Paragraph1,Colorful List Accent 1,Colorful List - Accent 11,MCHIP_list paragraph,Recommendation,PCA-§list,Liste couleur - Accent 11"/>
    <w:basedOn w:val="Normal"/>
    <w:link w:val="ListParagraphChar"/>
    <w:uiPriority w:val="34"/>
    <w:qFormat/>
    <w:rsid w:val="00245353"/>
    <w:pPr>
      <w:ind w:left="720"/>
      <w:contextualSpacing/>
    </w:pPr>
  </w:style>
  <w:style w:type="character" w:customStyle="1" w:styleId="ListParagraphChar">
    <w:name w:val="List Paragraph Char"/>
    <w:aliases w:val="Citation List Char,List Paragraph (numbered (a)) Char,References Char,ReferencesCxSpLast Char,lp1 Char,Bullet List Char,FooterText Char,List Paragraph1 Char,Colorful List Accent 1 Char,Colorful List - Accent 11 Char,PCA-§list Char"/>
    <w:link w:val="ListParagraph"/>
    <w:uiPriority w:val="34"/>
    <w:qFormat/>
    <w:rsid w:val="00245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9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965</Words>
  <Characters>5501</Characters>
  <Application>Microsoft Macintosh Word</Application>
  <DocSecurity>0</DocSecurity>
  <Lines>45</Lines>
  <Paragraphs>12</Paragraphs>
  <ScaleCrop>false</ScaleCrop>
  <Company/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 Tabu</dc:creator>
  <cp:keywords/>
  <dc:description/>
  <cp:lastModifiedBy>Nzisa Liku</cp:lastModifiedBy>
  <cp:revision>10</cp:revision>
  <dcterms:created xsi:type="dcterms:W3CDTF">2020-11-10T11:53:00Z</dcterms:created>
  <dcterms:modified xsi:type="dcterms:W3CDTF">2020-11-10T20:18:00Z</dcterms:modified>
</cp:coreProperties>
</file>